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-887730</wp:posOffset>
            </wp:positionV>
            <wp:extent cx="7560945" cy="4976495"/>
            <wp:effectExtent l="0" t="0" r="1905" b="14605"/>
            <wp:wrapNone/>
            <wp:docPr id="23" name="图片 2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935" distR="114935">
            <wp:extent cx="5271770" cy="2372360"/>
            <wp:effectExtent l="0" t="0" r="5080" b="0"/>
            <wp:docPr id="24" name="图片 24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资源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</w:rPr>
        <w:t>格子达毕业设计（论文）管理系统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</w:pPr>
      <w:bookmarkStart w:id="0" w:name="_Toc22003"/>
      <w:bookmarkStart w:id="1" w:name="_Toc22038"/>
      <w:r>
        <w:rPr>
          <w:rFonts w:hint="eastAsia"/>
          <w:b/>
          <w:bCs/>
          <w:i w:val="0"/>
          <w:iCs w:val="0"/>
          <w:sz w:val="52"/>
          <w:szCs w:val="52"/>
        </w:rPr>
        <w:t>操作手册</w:t>
      </w:r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-</w:t>
      </w:r>
      <w:bookmarkEnd w:id="0"/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指导教师</w:t>
      </w:r>
      <w:bookmarkEnd w:id="1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通远股份</w:t>
      </w:r>
    </w:p>
    <w:p>
      <w:pPr>
        <w:jc w:val="both"/>
        <w:rPr>
          <w:rFonts w:hint="eastAsia" w:ascii="微软雅黑" w:hAnsi="微软雅黑" w:eastAsia="微软雅黑" w:cs="微软雅黑"/>
          <w:sz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4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106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instrText xml:space="preserve">TOC \o "1-2" \h \u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_Toc22245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t xml:space="preserve">一、 </w:t>
          </w:r>
          <w:r>
            <w:rPr>
              <w:rFonts w:hint="eastAsia" w:ascii="微软雅黑" w:hAnsi="微软雅黑" w:eastAsia="微软雅黑"/>
              <w:lang w:val="en-US" w:eastAsia="zh-CN"/>
            </w:rPr>
            <w:t>使用流程概况</w:t>
          </w:r>
          <w:r>
            <w:tab/>
          </w:r>
          <w:r>
            <w:fldChar w:fldCharType="begin"/>
          </w:r>
          <w:r>
            <w:instrText xml:space="preserve"> PAGEREF _Toc22245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_Toc3188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二、 </w:t>
          </w:r>
          <w:r>
            <w:rPr>
              <w:rFonts w:hint="eastAsia" w:ascii="微软雅黑" w:hAnsi="微软雅黑" w:eastAsia="微软雅黑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_Toc3188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_Toc29316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三、 </w:t>
          </w:r>
          <w:r>
            <w:rPr>
              <w:rFonts w:hint="eastAsia" w:ascii="微软雅黑" w:hAnsi="微软雅黑" w:eastAsia="微软雅黑"/>
            </w:rPr>
            <w:t>过程</w:t>
          </w:r>
          <w:r>
            <w:rPr>
              <w:rFonts w:hint="eastAsia" w:ascii="微软雅黑" w:hAnsi="微软雅黑" w:eastAsia="微软雅黑"/>
              <w:lang w:val="en-US" w:eastAsia="zh-CN"/>
            </w:rPr>
            <w:t>性</w:t>
          </w:r>
          <w:r>
            <w:rPr>
              <w:rFonts w:hint="eastAsia" w:ascii="微软雅黑" w:hAnsi="微软雅黑" w:eastAsia="微软雅黑"/>
            </w:rPr>
            <w:t>操作</w:t>
          </w:r>
          <w:r>
            <w:tab/>
          </w:r>
          <w:r>
            <w:fldChar w:fldCharType="begin"/>
          </w:r>
          <w:r>
            <w:instrText xml:space="preserve"> PAGEREF _Toc29316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_Toc25932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/>
              <w:bCs/>
            </w:rPr>
            <w:t xml:space="preserve">1. </w:t>
          </w:r>
          <w:r>
            <w:rPr>
              <w:rFonts w:hint="eastAsia" w:ascii="微软雅黑" w:hAnsi="微软雅黑" w:eastAsia="微软雅黑"/>
            </w:rPr>
            <w:t>工作台</w:t>
          </w:r>
          <w:r>
            <w:tab/>
          </w:r>
          <w:r>
            <w:fldChar w:fldCharType="begin"/>
          </w:r>
          <w:r>
            <w:instrText xml:space="preserve"> PAGEREF _Toc25932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_Toc12918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/>
              <w:bCs/>
            </w:rPr>
            <w:t xml:space="preserve">2. </w:t>
          </w:r>
          <w:r>
            <w:rPr>
              <w:rFonts w:hint="eastAsia" w:ascii="微软雅黑" w:hAnsi="微软雅黑" w:eastAsia="微软雅黑"/>
              <w:lang w:val="en-US" w:eastAsia="zh-CN"/>
            </w:rPr>
            <w:t>选题</w:t>
          </w:r>
          <w:r>
            <w:rPr>
              <w:rFonts w:hint="eastAsia" w:ascii="微软雅黑" w:hAnsi="微软雅黑" w:eastAsia="微软雅黑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_Toc12918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_Toc23846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/>
              <w:bCs/>
            </w:rPr>
            <w:t xml:space="preserve">3. </w:t>
          </w:r>
          <w:r>
            <w:rPr>
              <w:rFonts w:hint="eastAsia" w:ascii="微软雅黑" w:hAnsi="微软雅黑" w:eastAsia="微软雅黑"/>
            </w:rPr>
            <w:t>开题报告</w:t>
          </w:r>
          <w:r>
            <w:tab/>
          </w:r>
          <w:r>
            <w:fldChar w:fldCharType="begin"/>
          </w:r>
          <w:r>
            <w:instrText xml:space="preserve"> PAGEREF _Toc23846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_Toc24191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四、 论文管理</w:t>
          </w:r>
          <w:r>
            <w:tab/>
          </w:r>
          <w:r>
            <w:fldChar w:fldCharType="begin"/>
          </w:r>
          <w:r>
            <w:instrText xml:space="preserve"> PAGEREF _Toc24191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_Toc28267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/>
              <w:bCs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/>
              <w:lang w:val="en-US" w:eastAsia="zh-CN"/>
            </w:rPr>
            <w:t>答辩前论文评阅与评分</w:t>
          </w:r>
          <w:r>
            <w:tab/>
          </w:r>
          <w:r>
            <w:fldChar w:fldCharType="begin"/>
          </w:r>
          <w:r>
            <w:instrText xml:space="preserve"> PAGEREF _Toc28267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_Toc31281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/>
              <w:bCs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/>
              <w:lang w:val="en-US" w:eastAsia="zh-CN"/>
            </w:rPr>
            <w:t>答辩后终稿审批</w:t>
          </w:r>
          <w:r>
            <w:tab/>
          </w:r>
          <w:r>
            <w:fldChar w:fldCharType="begin"/>
          </w:r>
          <w:r>
            <w:instrText xml:space="preserve"> PAGEREF _Toc31281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_Toc32239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五、 成绩与归档</w:t>
          </w:r>
          <w:r>
            <w:tab/>
          </w:r>
          <w:r>
            <w:fldChar w:fldCharType="begin"/>
          </w:r>
          <w:r>
            <w:instrText xml:space="preserve"> PAGEREF _Toc32239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_Toc12406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六、 个人信息</w:t>
          </w:r>
          <w:r>
            <w:tab/>
          </w:r>
          <w:r>
            <w:fldChar w:fldCharType="begin"/>
          </w:r>
          <w:r>
            <w:instrText xml:space="preserve"> PAGEREF _Toc12406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_Toc1743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t xml:space="preserve">1. </w:t>
          </w:r>
          <w:r>
            <w:rPr>
              <w:rFonts w:hint="eastAsia"/>
              <w:lang w:val="en-US" w:eastAsia="zh-CN"/>
            </w:rPr>
            <w:t>设置审批常用语</w:t>
          </w:r>
          <w:r>
            <w:tab/>
          </w:r>
          <w:r>
            <w:fldChar w:fldCharType="begin"/>
          </w:r>
          <w:r>
            <w:instrText xml:space="preserve"> PAGEREF _Toc1743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_Toc1125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t xml:space="preserve">2. </w:t>
          </w:r>
          <w:r>
            <w:rPr>
              <w:rFonts w:hint="eastAsia"/>
              <w:lang w:val="en-US" w:eastAsia="zh-CN"/>
            </w:rPr>
            <w:t>上传电子签名/修改密码/绑定微信/联系学生/咨询在线客服等</w:t>
          </w:r>
          <w:r>
            <w:tab/>
          </w:r>
          <w:r>
            <w:fldChar w:fldCharType="begin"/>
          </w:r>
          <w:r>
            <w:instrText xml:space="preserve"> PAGEREF _Toc1125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jc w:val="both"/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76" w:lineRule="auto"/>
        <w:ind w:left="420" w:hanging="420"/>
        <w:textAlignment w:val="auto"/>
      </w:pPr>
      <w:bookmarkStart w:id="2" w:name="_Toc22245"/>
      <w:bookmarkStart w:id="3" w:name="_Toc27613"/>
      <w:bookmarkStart w:id="4" w:name="_Toc50129912"/>
      <w:bookmarkStart w:id="5" w:name="_Toc26438"/>
      <w:r>
        <w:rPr>
          <w:rFonts w:hint="eastAsia" w:ascii="微软雅黑" w:hAnsi="微软雅黑" w:eastAsia="微软雅黑"/>
          <w:lang w:val="en-US" w:eastAsia="zh-CN"/>
        </w:rPr>
        <w:t>使用流程概况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463540" cy="3201670"/>
            <wp:effectExtent l="0" t="0" r="3810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0" w:hanging="420"/>
        <w:textAlignment w:val="auto"/>
        <w:rPr>
          <w:rFonts w:ascii="微软雅黑" w:hAnsi="微软雅黑" w:eastAsia="微软雅黑"/>
        </w:rPr>
      </w:pPr>
      <w:bookmarkStart w:id="6" w:name="_Toc3188"/>
      <w:r>
        <w:rPr>
          <w:rFonts w:hint="eastAsia" w:ascii="微软雅黑" w:hAnsi="微软雅黑" w:eastAsia="微软雅黑"/>
        </w:rPr>
        <w:t>登录系统</w:t>
      </w:r>
      <w:bookmarkEnd w:id="3"/>
      <w:bookmarkEnd w:id="4"/>
      <w:bookmarkEnd w:id="5"/>
      <w:bookmarkEnd w:id="6"/>
    </w:p>
    <w:p>
      <w:pPr>
        <w:pStyle w:val="18"/>
        <w:numPr>
          <w:ilvl w:val="0"/>
          <w:numId w:val="2"/>
        </w:numPr>
        <w:spacing w:line="240" w:lineRule="auto"/>
        <w:ind w:left="840" w:leftChars="0" w:hanging="420" w:firstLineChars="0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kern w:val="0"/>
        </w:rPr>
        <w:t>浏览器输入</w:t>
      </w:r>
      <w:r>
        <w:rPr>
          <w:rFonts w:hint="eastAsia" w:ascii="微软雅黑" w:hAnsi="微软雅黑" w:eastAsia="微软雅黑"/>
          <w:kern w:val="0"/>
          <w:lang w:val="en-US" w:eastAsia="zh-CN"/>
        </w:rPr>
        <w:t>专属</w:t>
      </w:r>
      <w:r>
        <w:rPr>
          <w:rFonts w:hint="eastAsia" w:ascii="微软雅黑" w:hAnsi="微软雅黑" w:eastAsia="微软雅黑"/>
        </w:rPr>
        <w:t>地址：</w:t>
      </w:r>
      <w:r>
        <w:fldChar w:fldCharType="begin"/>
      </w:r>
      <w:r>
        <w:instrText xml:space="preserve"> HYPERLINK "http://co.gocheck.cn/" </w:instrText>
      </w:r>
      <w:r>
        <w:fldChar w:fldCharType="separate"/>
      </w:r>
      <w:r>
        <w:rPr>
          <w:rStyle w:val="14"/>
          <w:rFonts w:ascii="微软雅黑" w:hAnsi="微软雅黑" w:eastAsia="微软雅黑"/>
          <w:szCs w:val="21"/>
        </w:rPr>
        <w:t>http://co.gocheck.cn/</w:t>
      </w:r>
      <w:r>
        <w:rPr>
          <w:rStyle w:val="14"/>
          <w:rFonts w:ascii="微软雅黑" w:hAnsi="微软雅黑" w:eastAsia="微软雅黑"/>
          <w:szCs w:val="21"/>
        </w:rPr>
        <w:fldChar w:fldCharType="end"/>
      </w:r>
      <w:r>
        <w:rPr>
          <w:rStyle w:val="14"/>
          <w:rFonts w:hint="eastAsia" w:ascii="微软雅黑" w:hAnsi="微软雅黑" w:eastAsia="微软雅黑"/>
          <w:szCs w:val="21"/>
          <w:lang w:val="en-US" w:eastAsia="zh-CN"/>
        </w:rPr>
        <w:t>11600</w:t>
      </w:r>
      <w:r>
        <w:rPr>
          <w:rFonts w:hint="eastAsia" w:ascii="微软雅黑" w:hAnsi="微软雅黑" w:eastAsia="微软雅黑"/>
        </w:rPr>
        <w:t>，</w:t>
      </w:r>
      <w:r>
        <w:rPr>
          <w:rFonts w:hint="eastAsia" w:ascii="微软雅黑" w:hAnsi="微软雅黑" w:eastAsia="微软雅黑"/>
          <w:lang w:val="en-US" w:eastAsia="zh-CN"/>
        </w:rPr>
        <w:t>账号是</w:t>
      </w:r>
      <w:r>
        <w:rPr>
          <w:rFonts w:hint="eastAsia" w:ascii="微软雅黑" w:hAnsi="微软雅黑" w:eastAsia="微软雅黑"/>
          <w:color w:val="0000FF"/>
          <w:lang w:val="en-US" w:eastAsia="zh-CN"/>
        </w:rPr>
        <w:t>工号，</w:t>
      </w:r>
      <w:r>
        <w:rPr>
          <w:rFonts w:hint="eastAsia" w:ascii="微软雅黑" w:hAnsi="微软雅黑" w:eastAsia="微软雅黑"/>
          <w:color w:val="auto"/>
          <w:lang w:val="en-US" w:eastAsia="zh-CN"/>
        </w:rPr>
        <w:t>初始密码123456。或使用微信扫码登录。（右上角个人信息--退出登录，可在登录界面选择法商登录）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377690" cy="296799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0" w:hanging="420"/>
        <w:textAlignment w:val="auto"/>
        <w:rPr>
          <w:rFonts w:ascii="微软雅黑" w:hAnsi="微软雅黑" w:eastAsia="微软雅黑"/>
        </w:rPr>
      </w:pPr>
      <w:bookmarkStart w:id="7" w:name="_Toc13056"/>
      <w:bookmarkStart w:id="8" w:name="_Toc10158"/>
      <w:bookmarkStart w:id="9" w:name="_Toc29316"/>
      <w:r>
        <w:rPr>
          <w:rFonts w:hint="eastAsia" w:ascii="微软雅黑" w:hAnsi="微软雅黑" w:eastAsia="微软雅黑"/>
        </w:rPr>
        <w:t>过程</w:t>
      </w:r>
      <w:r>
        <w:rPr>
          <w:rFonts w:hint="eastAsia" w:ascii="微软雅黑" w:hAnsi="微软雅黑" w:eastAsia="微软雅黑"/>
          <w:lang w:val="en-US" w:eastAsia="zh-CN"/>
        </w:rPr>
        <w:t>性</w:t>
      </w:r>
      <w:r>
        <w:rPr>
          <w:rFonts w:hint="eastAsia" w:ascii="微软雅黑" w:hAnsi="微软雅黑" w:eastAsia="微软雅黑"/>
        </w:rPr>
        <w:t>操作</w:t>
      </w:r>
      <w:bookmarkEnd w:id="7"/>
      <w:bookmarkEnd w:id="8"/>
      <w:bookmarkEnd w:id="9"/>
    </w:p>
    <w:p>
      <w:pPr>
        <w:pStyle w:val="6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839" w:hanging="420"/>
        <w:textAlignment w:val="auto"/>
      </w:pPr>
      <w:bookmarkStart w:id="10" w:name="_Toc50129927"/>
      <w:bookmarkStart w:id="11" w:name="_Toc13960"/>
      <w:bookmarkStart w:id="12" w:name="_Toc10485"/>
      <w:bookmarkStart w:id="13" w:name="_Toc25932"/>
      <w:r>
        <w:rPr>
          <w:rFonts w:hint="eastAsia" w:ascii="微软雅黑" w:hAnsi="微软雅黑" w:eastAsia="微软雅黑"/>
        </w:rPr>
        <w:t>工作台</w:t>
      </w:r>
      <w:bookmarkEnd w:id="10"/>
      <w:bookmarkEnd w:id="11"/>
      <w:bookmarkEnd w:id="12"/>
      <w:bookmarkEnd w:id="13"/>
    </w:p>
    <w:p>
      <w:pPr>
        <w:pStyle w:val="18"/>
        <w:numPr>
          <w:ilvl w:val="0"/>
          <w:numId w:val="4"/>
        </w:numPr>
        <w:spacing w:line="480" w:lineRule="auto"/>
        <w:ind w:left="420" w:leftChars="0" w:hanging="420" w:firstLineChars="0"/>
        <w:jc w:val="left"/>
      </w:pPr>
      <w:bookmarkStart w:id="14" w:name="_Toc50365134"/>
      <w:bookmarkStart w:id="15" w:name="_Toc5012992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导师进入工作台，查看与审批学生提交的课题、开题报告、论文等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；</w:t>
      </w:r>
      <w:r>
        <w:rPr>
          <w:rFonts w:hint="eastAsia" w:ascii="宋体" w:hAnsi="宋体" w:eastAsia="宋体" w:cs="宋体"/>
          <w:bCs/>
          <w:sz w:val="24"/>
          <w:szCs w:val="24"/>
        </w:rPr>
        <w:t>点击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橙色</w:t>
      </w:r>
      <w:r>
        <w:drawing>
          <wp:inline distT="0" distB="0" distL="114300" distR="114300">
            <wp:extent cx="649605" cy="398145"/>
            <wp:effectExtent l="0" t="0" r="17145" b="190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2620" cy="404495"/>
            <wp:effectExtent l="0" t="0" r="5080" b="146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4"/>
          <w:szCs w:val="24"/>
        </w:rPr>
        <w:t>进行审批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论文批阅</w:t>
      </w:r>
      <w:r>
        <w:rPr>
          <w:rFonts w:hint="eastAsia" w:ascii="宋体" w:hAnsi="宋体" w:eastAsia="宋体" w:cs="宋体"/>
          <w:bCs/>
          <w:sz w:val="24"/>
          <w:szCs w:val="24"/>
        </w:rPr>
        <w:t>操作。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饼状进度条</w:t>
      </w:r>
      <w:r>
        <w:drawing>
          <wp:inline distT="0" distB="0" distL="114300" distR="114300">
            <wp:extent cx="925195" cy="734695"/>
            <wp:effectExtent l="0" t="0" r="8255" b="825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可查看汇总数据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706370"/>
            <wp:effectExtent l="0" t="0" r="3810" b="1778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t="32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39" w:hanging="420"/>
        <w:textAlignment w:val="auto"/>
        <w:rPr>
          <w:rFonts w:ascii="微软雅黑" w:hAnsi="微软雅黑" w:eastAsia="微软雅黑"/>
        </w:rPr>
      </w:pPr>
      <w:bookmarkStart w:id="16" w:name="_Toc12918"/>
      <w:r>
        <w:rPr>
          <w:rFonts w:hint="eastAsia" w:ascii="微软雅黑" w:hAnsi="微软雅黑" w:eastAsia="微软雅黑"/>
          <w:lang w:val="en-US" w:eastAsia="zh-CN"/>
        </w:rPr>
        <w:t>选题</w:t>
      </w:r>
      <w:r>
        <w:rPr>
          <w:rFonts w:hint="eastAsia" w:ascii="微软雅黑" w:hAnsi="微软雅黑" w:eastAsia="微软雅黑"/>
        </w:rPr>
        <w:t>管理</w:t>
      </w:r>
      <w:bookmarkEnd w:id="14"/>
      <w:bookmarkEnd w:id="15"/>
      <w:bookmarkEnd w:id="16"/>
    </w:p>
    <w:p>
      <w:pPr>
        <w:numPr>
          <w:ilvl w:val="0"/>
          <w:numId w:val="5"/>
        </w:numPr>
        <w:ind w:left="420" w:leftChars="0" w:hanging="420" w:firstLineChars="0"/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课题采用学生申报，导师审批→院系负责人审批的模式；审批通过即达成双选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4282440" cy="1743075"/>
            <wp:effectExtent l="0" t="0" r="381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4788" b="11536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4874260" cy="1385570"/>
            <wp:effectExtent l="0" t="0" r="2540" b="50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3329940" cy="2122170"/>
            <wp:effectExtent l="0" t="0" r="3810" b="1143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4009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已通过课题修改</w:t>
      </w:r>
    </w:p>
    <w:p>
      <w:pPr>
        <w:pStyle w:val="18"/>
        <w:numPr>
          <w:ilvl w:val="0"/>
          <w:numId w:val="0"/>
        </w:numPr>
        <w:ind w:left="420" w:leftChars="0"/>
        <w:jc w:val="left"/>
        <w:rPr>
          <w:rFonts w:hint="eastAsia"/>
          <w:b/>
          <w:bCs/>
          <w:color w:val="0070C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学生端先发起修改申请，导师至【工作台】审批即可；审批通过学生有一次修改权限。</w:t>
      </w:r>
      <w:bookmarkStart w:id="48" w:name="_GoBack"/>
      <w:bookmarkEnd w:id="48"/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备注：修改后课题可自动同步至过程文档</w:t>
      </w:r>
    </w:p>
    <w:p>
      <w:pPr>
        <w:pStyle w:val="18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799465"/>
            <wp:effectExtent l="0" t="0" r="7620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306195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b="148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菜单栏说明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课题申报管理：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学生申报的全部课题，包含审批中、审批不通过、审批通过汇总；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师生双选课题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已通过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师生双选课题汇总。</w:t>
      </w:r>
    </w:p>
    <w:p>
      <w:pPr>
        <w:pStyle w:val="6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839" w:firstLine="0" w:firstLineChars="0"/>
        <w:textAlignment w:val="auto"/>
        <w:rPr>
          <w:rFonts w:ascii="微软雅黑" w:hAnsi="微软雅黑" w:eastAsia="微软雅黑"/>
          <w:bCs w:val="0"/>
        </w:rPr>
      </w:pPr>
      <w:bookmarkStart w:id="17" w:name="_Toc50365136"/>
      <w:bookmarkStart w:id="18" w:name="_Toc27403"/>
      <w:bookmarkStart w:id="19" w:name="_Toc50129930"/>
      <w:bookmarkStart w:id="20" w:name="_Toc29109"/>
      <w:bookmarkStart w:id="21" w:name="_Toc23846"/>
      <w:r>
        <w:rPr>
          <w:rFonts w:hint="eastAsia" w:ascii="微软雅黑" w:hAnsi="微软雅黑" w:eastAsia="微软雅黑"/>
        </w:rPr>
        <w:t>开题报告</w:t>
      </w:r>
      <w:bookmarkEnd w:id="17"/>
      <w:bookmarkEnd w:id="18"/>
      <w:bookmarkEnd w:id="19"/>
      <w:bookmarkEnd w:id="20"/>
      <w:bookmarkEnd w:id="21"/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bookmarkStart w:id="22" w:name="_Toc202"/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点击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【工作台】--【开题报告】--</w:t>
      </w:r>
      <w:bookmarkEnd w:id="22"/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【审批】进入审批页面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1610" cy="503555"/>
            <wp:effectExtent l="0" t="0" r="15240" b="1079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点击【通过】会出现不退回我要修改，可直接修改开题报告内容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16835" cy="1644650"/>
            <wp:effectExtent l="0" t="0" r="12065" b="1270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23833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点击【退回修改】可添加批注。如若需要退回修改，可以对文档进行批注，并且点击退回修改——提交保存</w:t>
      </w:r>
    </w:p>
    <w:p>
      <w:r>
        <w:drawing>
          <wp:inline distT="0" distB="0" distL="114300" distR="114300">
            <wp:extent cx="4749165" cy="3376930"/>
            <wp:effectExtent l="0" t="0" r="13335" b="1397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2"/>
          <w:sz w:val="21"/>
          <w:szCs w:val="21"/>
          <w:lang w:val="en-US" w:eastAsia="zh-CN" w:bidi="ar-SA"/>
        </w:rPr>
        <w:t>注意：审核时如选错审核意见，若想撤回审批，可参考图中操作，下同</w:t>
      </w:r>
    </w:p>
    <w:p>
      <w:r>
        <w:drawing>
          <wp:inline distT="0" distB="0" distL="114300" distR="114300">
            <wp:extent cx="5268595" cy="2456815"/>
            <wp:effectExtent l="0" t="0" r="8255" b="635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0" w:hanging="420"/>
        <w:textAlignment w:val="auto"/>
        <w:rPr>
          <w:rFonts w:hint="eastAsia" w:ascii="微软雅黑" w:hAnsi="微软雅黑" w:eastAsia="微软雅黑"/>
        </w:rPr>
      </w:pPr>
      <w:bookmarkStart w:id="23" w:name="_Toc7420"/>
      <w:bookmarkStart w:id="24" w:name="_Toc4270"/>
      <w:bookmarkStart w:id="25" w:name="_Toc50129932"/>
      <w:bookmarkStart w:id="26" w:name="_Toc58254903"/>
      <w:bookmarkStart w:id="27" w:name="_Toc24191"/>
      <w:r>
        <w:rPr>
          <w:rFonts w:hint="eastAsia" w:ascii="微软雅黑" w:hAnsi="微软雅黑" w:eastAsia="微软雅黑"/>
        </w:rPr>
        <w:t>论文管理</w:t>
      </w:r>
      <w:bookmarkEnd w:id="23"/>
      <w:bookmarkEnd w:id="24"/>
      <w:bookmarkEnd w:id="25"/>
      <w:bookmarkEnd w:id="26"/>
      <w:bookmarkEnd w:id="27"/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  <w:t>注意事项：</w:t>
      </w:r>
    </w:p>
    <w:p>
      <w:pPr>
        <w:pStyle w:val="18"/>
        <w:keepNext w:val="0"/>
        <w:keepLines w:val="0"/>
        <w:pageBreakBefore w:val="0"/>
        <w:widowControl w:val="0"/>
        <w:numPr>
          <w:ilvl w:val="1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hanging="420" w:firstLineChars="0"/>
        <w:textAlignment w:val="auto"/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导师评阅的是学生最新一次上传的记录，请提醒学生不要多次/重复上传；</w:t>
      </w:r>
    </w:p>
    <w:p>
      <w:pPr>
        <w:pStyle w:val="18"/>
        <w:keepNext w:val="0"/>
        <w:keepLines w:val="0"/>
        <w:pageBreakBefore w:val="0"/>
        <w:widowControl w:val="0"/>
        <w:numPr>
          <w:ilvl w:val="1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hanging="420" w:firstLineChars="0"/>
        <w:textAlignment w:val="auto"/>
        <w:rPr>
          <w:rFonts w:hint="default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答辩前定稿符合检测要求即可评分，填写评语；格式错误数不影响导师定稿，具体以导师要求为准；</w:t>
      </w:r>
    </w:p>
    <w:p>
      <w:pPr>
        <w:pStyle w:val="18"/>
        <w:keepNext w:val="0"/>
        <w:keepLines w:val="0"/>
        <w:pageBreakBefore w:val="0"/>
        <w:widowControl w:val="0"/>
        <w:numPr>
          <w:ilvl w:val="1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hanging="420" w:firstLineChars="0"/>
        <w:textAlignment w:val="auto"/>
        <w:rPr>
          <w:rFonts w:hint="default" w:ascii="微软雅黑" w:hAnsi="微软雅黑" w:eastAsia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4"/>
          <w:szCs w:val="24"/>
          <w:lang w:val="en-US" w:eastAsia="zh-CN"/>
        </w:rPr>
        <w:t>若学生已定稿需修改格式/标点符号等微调，建议答辩后一并修改上传终稿，勿轻易退回，避免已定稿再次检测。</w:t>
      </w:r>
    </w:p>
    <w:p>
      <w:pPr>
        <w:pStyle w:val="6"/>
        <w:keepNext/>
        <w:keepLines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839" w:hanging="420"/>
        <w:textAlignment w:val="auto"/>
        <w:rPr>
          <w:rFonts w:hint="default" w:ascii="微软雅黑" w:hAnsi="微软雅黑" w:eastAsia="微软雅黑"/>
          <w:lang w:val="en-US" w:eastAsia="zh-CN"/>
        </w:rPr>
      </w:pPr>
      <w:bookmarkStart w:id="28" w:name="_Toc28267"/>
      <w:r>
        <w:rPr>
          <w:rFonts w:hint="eastAsia" w:ascii="微软雅黑" w:hAnsi="微软雅黑" w:eastAsia="微软雅黑"/>
          <w:lang w:val="en-US" w:eastAsia="zh-CN"/>
        </w:rPr>
        <w:t>答辩前论文评阅与评分</w:t>
      </w:r>
      <w:bookmarkEnd w:id="28"/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在线评阅：直接在系统上完成论文评阅；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上传评阅：线下完成评阅、将评阅后文档上传到系统中退回给学生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查看检测报告：简版报告中各项指标均符合即为达到检测要求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格式主体完整：主体即送检论文需包含目录、中英文摘要、关键词、参考文献等；必备主体详见格式检测标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*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内容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论文批阅菜单下评阅学生所提交的初稿、修改稿、定稿。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</w:p>
    <w:p>
      <w:pPr>
        <w:pStyle w:val="18"/>
        <w:numPr>
          <w:ilvl w:val="0"/>
          <w:numId w:val="12"/>
        </w:numPr>
        <w:ind w:firstLineChars="0"/>
        <w:rPr>
          <w:rFonts w:hint="default" w:ascii="微软雅黑" w:hAnsi="微软雅黑" w:eastAsia="微软雅黑"/>
          <w:b/>
          <w:bCs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点击工作台----【论文批阅】跳转至评阅界面</w:t>
      </w:r>
    </w:p>
    <w:p>
      <w:pPr>
        <w:ind w:left="840"/>
      </w:pPr>
      <w:r>
        <w:drawing>
          <wp:inline distT="0" distB="0" distL="114300" distR="114300">
            <wp:extent cx="5265420" cy="1959610"/>
            <wp:effectExtent l="0" t="0" r="11430" b="25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/>
      </w:pPr>
      <w:r>
        <w:drawing>
          <wp:inline distT="0" distB="0" distL="114300" distR="114300">
            <wp:extent cx="4589780" cy="2184400"/>
            <wp:effectExtent l="0" t="0" r="1270" b="635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1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在线评阅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/评阅退回或定稿</w:t>
      </w:r>
    </w:p>
    <w:p>
      <w:pPr>
        <w:bidi w:val="0"/>
      </w:pPr>
      <w:r>
        <w:drawing>
          <wp:inline distT="0" distB="0" distL="114300" distR="114300">
            <wp:extent cx="5265420" cy="2370455"/>
            <wp:effectExtent l="0" t="0" r="11430" b="1079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查看学生检测结果，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全部指标均符合</w:t>
      </w:r>
      <w:r>
        <w:rPr>
          <w:rFonts w:hint="eastAsia"/>
          <w:sz w:val="24"/>
          <w:szCs w:val="24"/>
          <w:lang w:val="en-US" w:eastAsia="zh-CN"/>
        </w:rPr>
        <w:t>即可定稿评分，填写定稿评语</w:t>
      </w:r>
    </w:p>
    <w:p>
      <w:pPr>
        <w:bidi w:val="0"/>
      </w:pPr>
      <w:r>
        <w:drawing>
          <wp:inline distT="0" distB="0" distL="114300" distR="114300">
            <wp:extent cx="5267325" cy="2115820"/>
            <wp:effectExtent l="0" t="0" r="9525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1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上传批阅</w:t>
      </w:r>
    </w:p>
    <w:p>
      <w:pPr>
        <w:pStyle w:val="18"/>
        <w:numPr>
          <w:ilvl w:val="0"/>
          <w:numId w:val="0"/>
        </w:numPr>
        <w:ind w:left="840" w:left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线下完成论文评阅、将评阅后文档上传到系统中</w:t>
      </w:r>
    </w:p>
    <w:p>
      <w:pPr>
        <w:bidi w:val="0"/>
      </w:pPr>
      <w:r>
        <w:drawing>
          <wp:inline distT="0" distB="0" distL="114300" distR="114300">
            <wp:extent cx="5269230" cy="1395095"/>
            <wp:effectExtent l="0" t="0" r="7620" b="1460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839" w:hanging="420"/>
        <w:textAlignment w:val="auto"/>
        <w:rPr>
          <w:rFonts w:hint="eastAsia" w:ascii="微软雅黑" w:hAnsi="微软雅黑" w:eastAsia="微软雅黑"/>
          <w:lang w:val="en-US" w:eastAsia="zh-CN"/>
        </w:rPr>
      </w:pPr>
      <w:bookmarkStart w:id="29" w:name="_Toc24280"/>
      <w:bookmarkStart w:id="30" w:name="_Toc59545460"/>
      <w:bookmarkStart w:id="31" w:name="_Toc20121"/>
      <w:bookmarkStart w:id="32" w:name="_Toc59548158"/>
      <w:bookmarkStart w:id="33" w:name="_Toc31281"/>
      <w:r>
        <w:rPr>
          <w:rFonts w:hint="eastAsia" w:ascii="微软雅黑" w:hAnsi="微软雅黑" w:eastAsia="微软雅黑"/>
          <w:lang w:val="en-US" w:eastAsia="zh-CN"/>
        </w:rPr>
        <w:t>答辩后终稿审批</w:t>
      </w:r>
      <w:bookmarkEnd w:id="29"/>
      <w:bookmarkEnd w:id="30"/>
      <w:bookmarkEnd w:id="31"/>
      <w:bookmarkEnd w:id="32"/>
      <w:bookmarkEnd w:id="33"/>
    </w:p>
    <w:p>
      <w:pPr>
        <w:spacing w:line="360" w:lineRule="auto"/>
        <w:rPr>
          <w:rFonts w:hint="default"/>
          <w:sz w:val="24"/>
          <w:szCs w:val="28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工作台--【答辩后终稿】--【审批】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跳转至审批界面；终稿还需由学部统一查重；指导教师着重核查论文word、PDF版本内容；PDF将导出上传至教育部抽检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0340" cy="2195830"/>
            <wp:effectExtent l="0" t="0" r="16510" b="13970"/>
            <wp:docPr id="8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rcRect t="45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1556385"/>
            <wp:effectExtent l="0" t="0" r="3810" b="5715"/>
            <wp:docPr id="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3788410"/>
            <wp:effectExtent l="0" t="0" r="6985" b="2540"/>
            <wp:docPr id="8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0" w:hanging="420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34" w:name="_Toc9069"/>
      <w:bookmarkStart w:id="35" w:name="_Toc32239"/>
      <w:r>
        <w:rPr>
          <w:rFonts w:hint="eastAsia" w:ascii="宋体" w:hAnsi="宋体" w:eastAsia="宋体" w:cs="宋体"/>
          <w:lang w:val="en-US" w:eastAsia="zh-CN"/>
        </w:rPr>
        <w:t>成绩与归档</w:t>
      </w:r>
      <w:bookmarkEnd w:id="34"/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查看成绩。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388870"/>
            <wp:effectExtent l="0" t="0" r="12065" b="1143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6" w:name="_Toc639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学年归档</w:t>
      </w:r>
      <w:bookmarkEnd w:id="36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</w:pPr>
      <w:r>
        <w:drawing>
          <wp:inline distT="0" distB="0" distL="114300" distR="114300">
            <wp:extent cx="5271770" cy="2506980"/>
            <wp:effectExtent l="0" t="0" r="5080" b="7620"/>
            <wp:docPr id="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hanging="420"/>
        <w:textAlignment w:val="auto"/>
        <w:rPr>
          <w:rFonts w:hint="eastAsia" w:ascii="微软雅黑" w:hAnsi="微软雅黑" w:eastAsia="微软雅黑"/>
          <w:lang w:val="en-US" w:eastAsia="zh-CN"/>
        </w:rPr>
      </w:pPr>
      <w:bookmarkStart w:id="37" w:name="_Toc4248"/>
      <w:bookmarkStart w:id="38" w:name="_Toc50365228"/>
      <w:bookmarkStart w:id="39" w:name="_Toc12406"/>
      <w:bookmarkStart w:id="40" w:name="_Hlk50369104"/>
      <w:r>
        <w:rPr>
          <w:rFonts w:hint="eastAsia" w:ascii="微软雅黑" w:hAnsi="微软雅黑" w:eastAsia="微软雅黑"/>
          <w:lang w:val="en-US" w:eastAsia="zh-CN"/>
        </w:rPr>
        <w:t>个人信息</w:t>
      </w:r>
      <w:bookmarkEnd w:id="37"/>
      <w:bookmarkEnd w:id="38"/>
      <w:bookmarkEnd w:id="39"/>
    </w:p>
    <w:bookmarkEnd w:id="40"/>
    <w:p>
      <w:pPr>
        <w:pStyle w:val="6"/>
        <w:keepNext/>
        <w:keepLines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hanging="420"/>
        <w:textAlignment w:val="auto"/>
      </w:pPr>
      <w:bookmarkStart w:id="41" w:name="_Toc11649"/>
      <w:bookmarkStart w:id="42" w:name="_Toc1743"/>
      <w:bookmarkStart w:id="43" w:name="_Toc50129937"/>
      <w:bookmarkStart w:id="44" w:name="_Toc58254922"/>
      <w:r>
        <w:rPr>
          <w:rFonts w:hint="eastAsia"/>
          <w:lang w:val="en-US" w:eastAsia="zh-CN"/>
        </w:rPr>
        <w:t>设置审批常用语</w:t>
      </w:r>
      <w:bookmarkEnd w:id="41"/>
      <w:bookmarkEnd w:id="42"/>
    </w:p>
    <w:p>
      <w:pPr>
        <w:bidi w:val="0"/>
      </w:pPr>
      <w:r>
        <w:drawing>
          <wp:inline distT="0" distB="0" distL="114300" distR="114300">
            <wp:extent cx="3378835" cy="1859915"/>
            <wp:effectExtent l="0" t="0" r="12065" b="6985"/>
            <wp:docPr id="9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rcRect r="23985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4361815" cy="1452880"/>
            <wp:effectExtent l="0" t="0" r="635" b="13970"/>
            <wp:docPr id="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rcRect l="17241" b="44031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p>
      <w:pPr>
        <w:pStyle w:val="6"/>
        <w:keepNext/>
        <w:keepLines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ind w:left="839" w:hanging="420"/>
        <w:textAlignment w:val="auto"/>
      </w:pPr>
      <w:bookmarkStart w:id="45" w:name="_Toc25641"/>
      <w:bookmarkStart w:id="46" w:name="_Toc1125"/>
      <w:r>
        <w:rPr>
          <w:rFonts w:hint="eastAsia"/>
          <w:lang w:val="en-US" w:eastAsia="zh-CN"/>
        </w:rPr>
        <w:t>上传电子签名/修改密码/绑定微信/联系学生/咨询在线客服等</w:t>
      </w:r>
      <w:bookmarkEnd w:id="45"/>
      <w:bookmarkEnd w:id="46"/>
    </w:p>
    <w:p>
      <w:pPr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备注：电子签名上传后可自动提取至文档导师签名处；建议在白纸签字后牌拍照上传至系统</w:t>
      </w:r>
    </w:p>
    <w:p>
      <w:bookmarkStart w:id="47" w:name="_Hlk58253892"/>
    </w:p>
    <w:p>
      <w:r>
        <w:drawing>
          <wp:inline distT="0" distB="0" distL="114300" distR="114300">
            <wp:extent cx="5271135" cy="2393315"/>
            <wp:effectExtent l="0" t="0" r="5715" b="6985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rcRect t="180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78680" cy="2257425"/>
            <wp:effectExtent l="0" t="0" r="7620" b="952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47"/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default" w:eastAsiaTheme="minorEastAsia"/>
        <w:lang w:val="en-US" w:eastAsia="zh-CN"/>
      </w:rPr>
    </w:pPr>
    <w:r>
      <w:drawing>
        <wp:inline distT="0" distB="0" distL="114300" distR="114300">
          <wp:extent cx="864870" cy="370840"/>
          <wp:effectExtent l="0" t="0" r="0" b="0"/>
          <wp:docPr id="9" name="图片 9" descr="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2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870" cy="370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52170" cy="363855"/>
          <wp:effectExtent l="0" t="0" r="5080" b="0"/>
          <wp:docPr id="12" name="图片 12" descr="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217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D9FB35"/>
    <w:multiLevelType w:val="multilevel"/>
    <w:tmpl w:val="81D9FB35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  <w:b/>
        <w:bCs/>
      </w:rPr>
    </w:lvl>
    <w:lvl w:ilvl="1" w:tentative="0">
      <w:start w:val="1"/>
      <w:numFmt w:val="decimal"/>
      <w:lvlText w:val="%2)"/>
      <w:lvlJc w:val="left"/>
      <w:pPr>
        <w:ind w:left="1260" w:hanging="420"/>
      </w:pPr>
    </w:lvl>
    <w:lvl w:ilvl="2" w:tentative="0">
      <w:start w:val="1"/>
      <w:numFmt w:val="decimal"/>
      <w:lvlText w:val="%3)"/>
      <w:lvlJc w:val="left"/>
      <w:pPr>
        <w:ind w:left="162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B60FE8DB"/>
    <w:multiLevelType w:val="singleLevel"/>
    <w:tmpl w:val="B60FE8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B32758C"/>
    <w:multiLevelType w:val="multilevel"/>
    <w:tmpl w:val="BB3275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CCDB8412"/>
    <w:multiLevelType w:val="singleLevel"/>
    <w:tmpl w:val="CCDB841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EFF37AFD"/>
    <w:multiLevelType w:val="singleLevel"/>
    <w:tmpl w:val="EFF37AF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073A5E27"/>
    <w:multiLevelType w:val="multilevel"/>
    <w:tmpl w:val="073A5E2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207373F"/>
    <w:multiLevelType w:val="multilevel"/>
    <w:tmpl w:val="1207373F"/>
    <w:lvl w:ilvl="0" w:tentative="0">
      <w:start w:val="1"/>
      <w:numFmt w:val="decimal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22887CDC"/>
    <w:multiLevelType w:val="multilevel"/>
    <w:tmpl w:val="22887CD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B430220"/>
    <w:multiLevelType w:val="singleLevel"/>
    <w:tmpl w:val="3B43022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3F8EC604"/>
    <w:multiLevelType w:val="singleLevel"/>
    <w:tmpl w:val="3F8EC60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42033B9D"/>
    <w:multiLevelType w:val="multilevel"/>
    <w:tmpl w:val="42033B9D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  <w:b/>
        <w:bCs/>
      </w:rPr>
    </w:lvl>
    <w:lvl w:ilvl="1" w:tentative="0">
      <w:start w:val="1"/>
      <w:numFmt w:val="decimal"/>
      <w:lvlText w:val="%2)"/>
      <w:lvlJc w:val="left"/>
      <w:pPr>
        <w:ind w:left="1260" w:hanging="420"/>
      </w:pPr>
    </w:lvl>
    <w:lvl w:ilvl="2" w:tentative="0">
      <w:start w:val="1"/>
      <w:numFmt w:val="decimal"/>
      <w:lvlText w:val="%3)"/>
      <w:lvlJc w:val="left"/>
      <w:pPr>
        <w:ind w:left="162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BF7968E"/>
    <w:multiLevelType w:val="singleLevel"/>
    <w:tmpl w:val="5BF7968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77897403"/>
    <w:multiLevelType w:val="singleLevel"/>
    <w:tmpl w:val="7789740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77ACCCAA"/>
    <w:multiLevelType w:val="singleLevel"/>
    <w:tmpl w:val="77ACCCA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3"/>
  </w:num>
  <w:num w:numId="5">
    <w:abstractNumId w:val="9"/>
  </w:num>
  <w:num w:numId="6">
    <w:abstractNumId w:val="4"/>
  </w:num>
  <w:num w:numId="7">
    <w:abstractNumId w:val="13"/>
  </w:num>
  <w:num w:numId="8">
    <w:abstractNumId w:val="1"/>
  </w:num>
  <w:num w:numId="9">
    <w:abstractNumId w:val="2"/>
  </w:num>
  <w:num w:numId="10">
    <w:abstractNumId w:val="0"/>
  </w:num>
  <w:num w:numId="11">
    <w:abstractNumId w:val="11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jODdhZjA5NjE3ZTBlOGQ1NzFhYzRhODc4NDY0MjQifQ=="/>
  </w:docVars>
  <w:rsids>
    <w:rsidRoot w:val="50976A7A"/>
    <w:rsid w:val="006641AE"/>
    <w:rsid w:val="02763904"/>
    <w:rsid w:val="03280EF8"/>
    <w:rsid w:val="0485507D"/>
    <w:rsid w:val="05F1548B"/>
    <w:rsid w:val="06F47A55"/>
    <w:rsid w:val="07C9205C"/>
    <w:rsid w:val="08AE00F1"/>
    <w:rsid w:val="0BD11232"/>
    <w:rsid w:val="0C127EE5"/>
    <w:rsid w:val="10F51456"/>
    <w:rsid w:val="149D679A"/>
    <w:rsid w:val="15AD77EE"/>
    <w:rsid w:val="182D12C2"/>
    <w:rsid w:val="184E2DB4"/>
    <w:rsid w:val="19B60BB4"/>
    <w:rsid w:val="1A1D208C"/>
    <w:rsid w:val="1A951111"/>
    <w:rsid w:val="1C186CA5"/>
    <w:rsid w:val="1CF477DA"/>
    <w:rsid w:val="1D361CC9"/>
    <w:rsid w:val="27E81C9E"/>
    <w:rsid w:val="2CE345BE"/>
    <w:rsid w:val="2F0A3A24"/>
    <w:rsid w:val="2F14019F"/>
    <w:rsid w:val="315E08A9"/>
    <w:rsid w:val="31B84B05"/>
    <w:rsid w:val="32543208"/>
    <w:rsid w:val="346C2F68"/>
    <w:rsid w:val="35CB3051"/>
    <w:rsid w:val="35E8670E"/>
    <w:rsid w:val="35F07F73"/>
    <w:rsid w:val="371B5CF4"/>
    <w:rsid w:val="387B4966"/>
    <w:rsid w:val="3D2173A8"/>
    <w:rsid w:val="42472904"/>
    <w:rsid w:val="475A5C56"/>
    <w:rsid w:val="493C474B"/>
    <w:rsid w:val="4AC40AD3"/>
    <w:rsid w:val="4CC07B13"/>
    <w:rsid w:val="50976A7A"/>
    <w:rsid w:val="50CC3DFA"/>
    <w:rsid w:val="52024ECF"/>
    <w:rsid w:val="57FA3A78"/>
    <w:rsid w:val="589B4B37"/>
    <w:rsid w:val="58D55F64"/>
    <w:rsid w:val="591024AE"/>
    <w:rsid w:val="59621071"/>
    <w:rsid w:val="59760AE9"/>
    <w:rsid w:val="5CF70634"/>
    <w:rsid w:val="5E146E62"/>
    <w:rsid w:val="603E0401"/>
    <w:rsid w:val="61E93A8A"/>
    <w:rsid w:val="62031CD4"/>
    <w:rsid w:val="62B96C85"/>
    <w:rsid w:val="64EC07A5"/>
    <w:rsid w:val="65F01F3E"/>
    <w:rsid w:val="65FE5DD1"/>
    <w:rsid w:val="663E6839"/>
    <w:rsid w:val="668E714F"/>
    <w:rsid w:val="682C424B"/>
    <w:rsid w:val="6B96399C"/>
    <w:rsid w:val="6C086367"/>
    <w:rsid w:val="7068102B"/>
    <w:rsid w:val="71017D42"/>
    <w:rsid w:val="72DC7483"/>
    <w:rsid w:val="75575DAE"/>
    <w:rsid w:val="777A05E8"/>
    <w:rsid w:val="77A613DD"/>
    <w:rsid w:val="7A0F01DE"/>
    <w:rsid w:val="7A5D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link w:val="5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986</Words>
  <Characters>1031</Characters>
  <Lines>0</Lines>
  <Paragraphs>0</Paragraphs>
  <TotalTime>0</TotalTime>
  <ScaleCrop>false</ScaleCrop>
  <LinksUpToDate>false</LinksUpToDate>
  <CharactersWithSpaces>1096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2021-10-14T01:23:00Z</dcterms:created>
  <dc:creator>Administrator</dc:creator>
  <cp:lastModifiedBy>WT_L</cp:lastModifiedBy>
  <dcterms:modified xsi:type="dcterms:W3CDTF">2023-11-02T08:34:50Z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A11D7302E58B4638B211AA68B596A83F_13</vt:lpwstr>
  </property>
</Properties>
</file>